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D9F" w:rsidRDefault="00677D9F" w:rsidP="00677D9F">
      <w:pPr>
        <w:pStyle w:val="Header"/>
        <w:rPr>
          <w:rFonts w:ascii="Arial" w:hAnsi="Arial" w:cs="Arial"/>
          <w:b/>
          <w:color w:val="8C1D40"/>
          <w:sz w:val="32"/>
        </w:rPr>
      </w:pPr>
      <w:r>
        <w:rPr>
          <w:rFonts w:ascii="Arial" w:hAnsi="Arial" w:cs="Arial"/>
          <w:b/>
          <w:color w:val="8C1D40"/>
          <w:sz w:val="32"/>
        </w:rPr>
        <w:t>Graduate Student Mentoring Network</w:t>
      </w:r>
    </w:p>
    <w:p w:rsidR="00677D9F" w:rsidRPr="00072F0B" w:rsidRDefault="00677D9F" w:rsidP="00677D9F">
      <w:pPr>
        <w:pStyle w:val="Header"/>
        <w:rPr>
          <w:rFonts w:ascii="Arial" w:hAnsi="Arial" w:cs="Arial"/>
          <w:color w:val="8C1D40"/>
          <w:sz w:val="32"/>
        </w:rPr>
      </w:pPr>
      <w:r w:rsidRPr="00072F0B">
        <w:rPr>
          <w:rFonts w:ascii="Arial" w:hAnsi="Arial" w:cs="Arial"/>
          <w:color w:val="8C1D40"/>
          <w:sz w:val="32"/>
        </w:rPr>
        <w:t xml:space="preserve">The Mentoring Connection: </w:t>
      </w:r>
      <w:r>
        <w:rPr>
          <w:rFonts w:ascii="Arial" w:hAnsi="Arial" w:cs="Arial"/>
          <w:color w:val="8C1D40"/>
          <w:sz w:val="32"/>
        </w:rPr>
        <w:t>Peer Mentoring</w:t>
      </w:r>
    </w:p>
    <w:p w:rsidR="00677D9F" w:rsidRDefault="00677D9F" w:rsidP="00726822">
      <w:pPr>
        <w:rPr>
          <w:rFonts w:ascii="Arial" w:hAnsi="Arial" w:cs="Arial"/>
          <w:b/>
        </w:rPr>
      </w:pPr>
    </w:p>
    <w:p w:rsidR="005B7D23" w:rsidRPr="00A54EC6" w:rsidRDefault="00531122" w:rsidP="00726822">
      <w:pPr>
        <w:rPr>
          <w:rFonts w:ascii="Arial" w:hAnsi="Arial" w:cs="Arial"/>
        </w:rPr>
      </w:pPr>
      <w:r w:rsidRPr="00A54EC6">
        <w:rPr>
          <w:rFonts w:ascii="Arial" w:hAnsi="Arial" w:cs="Arial"/>
          <w:b/>
        </w:rPr>
        <w:t xml:space="preserve">Graduate school is </w:t>
      </w:r>
      <w:r w:rsidR="00677D9F">
        <w:rPr>
          <w:rFonts w:ascii="Arial" w:hAnsi="Arial" w:cs="Arial"/>
          <w:b/>
        </w:rPr>
        <w:t>designed to challenge and expose students to multiple perspectives</w:t>
      </w:r>
      <w:r w:rsidRPr="00A54EC6">
        <w:rPr>
          <w:rFonts w:ascii="Arial" w:hAnsi="Arial" w:cs="Arial"/>
          <w:b/>
        </w:rPr>
        <w:t>.</w:t>
      </w:r>
      <w:r w:rsidRPr="00A54EC6">
        <w:rPr>
          <w:rFonts w:ascii="Arial" w:hAnsi="Arial" w:cs="Arial"/>
        </w:rPr>
        <w:t xml:space="preserve"> </w:t>
      </w:r>
      <w:r w:rsidR="00A54EC6" w:rsidRPr="00A54EC6">
        <w:rPr>
          <w:rFonts w:ascii="Arial" w:hAnsi="Arial" w:cs="Arial"/>
        </w:rPr>
        <w:t>Grad</w:t>
      </w:r>
      <w:r w:rsidRPr="00A54EC6">
        <w:rPr>
          <w:rFonts w:ascii="Arial" w:hAnsi="Arial" w:cs="Arial"/>
        </w:rPr>
        <w:t xml:space="preserve"> school represents a paradigm shift for many new students </w:t>
      </w:r>
      <w:r w:rsidR="00A54EC6" w:rsidRPr="00A54EC6">
        <w:rPr>
          <w:rFonts w:ascii="Arial" w:hAnsi="Arial" w:cs="Arial"/>
        </w:rPr>
        <w:t>acclimating</w:t>
      </w:r>
      <w:r w:rsidRPr="00A54EC6">
        <w:rPr>
          <w:rFonts w:ascii="Arial" w:hAnsi="Arial" w:cs="Arial"/>
        </w:rPr>
        <w:t xml:space="preserve"> to new programs, departments, and communities. </w:t>
      </w:r>
      <w:r w:rsidR="00A54EC6" w:rsidRPr="00A54EC6">
        <w:rPr>
          <w:rFonts w:ascii="Arial" w:hAnsi="Arial" w:cs="Arial"/>
        </w:rPr>
        <w:t xml:space="preserve">Achieving work-life balance, </w:t>
      </w:r>
      <w:r w:rsidR="005B7D23" w:rsidRPr="00A54EC6">
        <w:rPr>
          <w:rFonts w:ascii="Arial" w:hAnsi="Arial" w:cs="Arial"/>
        </w:rPr>
        <w:t xml:space="preserve">developing and maintaining relationships </w:t>
      </w:r>
      <w:r w:rsidR="00A54EC6" w:rsidRPr="00A54EC6">
        <w:rPr>
          <w:rFonts w:ascii="Arial" w:hAnsi="Arial" w:cs="Arial"/>
        </w:rPr>
        <w:t>are</w:t>
      </w:r>
      <w:r w:rsidR="005B7D23" w:rsidRPr="00A54EC6">
        <w:rPr>
          <w:rFonts w:ascii="Arial" w:hAnsi="Arial" w:cs="Arial"/>
        </w:rPr>
        <w:t xml:space="preserve"> stressors that can become barriers to academic success.</w:t>
      </w:r>
    </w:p>
    <w:p w:rsidR="00B679D6" w:rsidRPr="00A54EC6" w:rsidRDefault="005B7D23" w:rsidP="00726822">
      <w:pPr>
        <w:rPr>
          <w:rFonts w:ascii="Arial" w:hAnsi="Arial" w:cs="Arial"/>
        </w:rPr>
      </w:pPr>
      <w:r w:rsidRPr="00A54EC6">
        <w:rPr>
          <w:rFonts w:ascii="Arial" w:hAnsi="Arial" w:cs="Arial"/>
        </w:rPr>
        <w:t xml:space="preserve">Fortunately, these challenges can be navigated through </w:t>
      </w:r>
      <w:r w:rsidR="00A54EC6" w:rsidRPr="00A54EC6">
        <w:rPr>
          <w:rFonts w:ascii="Arial" w:hAnsi="Arial" w:cs="Arial"/>
        </w:rPr>
        <w:t>mentoring relationships</w:t>
      </w:r>
      <w:r w:rsidRPr="00A54EC6">
        <w:rPr>
          <w:rFonts w:ascii="Arial" w:hAnsi="Arial" w:cs="Arial"/>
        </w:rPr>
        <w:t xml:space="preserve">. </w:t>
      </w:r>
      <w:r w:rsidR="00531122" w:rsidRPr="00A54EC6">
        <w:rPr>
          <w:rFonts w:ascii="Arial" w:hAnsi="Arial" w:cs="Arial"/>
        </w:rPr>
        <w:t xml:space="preserve">In broad national studies, mentoring has been identified as one of the most effective ways of bolstering </w:t>
      </w:r>
      <w:r w:rsidR="00A54EC6" w:rsidRPr="00A54EC6">
        <w:rPr>
          <w:rFonts w:ascii="Arial" w:hAnsi="Arial" w:cs="Arial"/>
        </w:rPr>
        <w:t xml:space="preserve">graduate student </w:t>
      </w:r>
      <w:r w:rsidR="00531122" w:rsidRPr="00A54EC6">
        <w:rPr>
          <w:rFonts w:ascii="Arial" w:hAnsi="Arial" w:cs="Arial"/>
        </w:rPr>
        <w:t>success and persistence.</w:t>
      </w:r>
    </w:p>
    <w:p w:rsidR="00726822" w:rsidRPr="00677D9F" w:rsidRDefault="00726822" w:rsidP="00726822">
      <w:pPr>
        <w:rPr>
          <w:rFonts w:ascii="Arial" w:hAnsi="Arial" w:cs="Arial"/>
          <w:color w:val="8C1D40"/>
          <w:sz w:val="28"/>
        </w:rPr>
      </w:pPr>
      <w:r w:rsidRPr="00677D9F">
        <w:rPr>
          <w:rFonts w:ascii="Arial" w:hAnsi="Arial" w:cs="Arial"/>
          <w:color w:val="8C1D40"/>
          <w:sz w:val="28"/>
        </w:rPr>
        <w:t>What is peer mentoring?</w:t>
      </w:r>
    </w:p>
    <w:p w:rsidR="00AA3CEA" w:rsidRDefault="00AA3CEA" w:rsidP="00726822">
      <w:pPr>
        <w:rPr>
          <w:rFonts w:ascii="Arial" w:hAnsi="Arial" w:cs="Arial"/>
          <w:sz w:val="20"/>
        </w:rPr>
      </w:pPr>
      <w:r>
        <w:rPr>
          <w:rFonts w:ascii="Arial" w:hAnsi="Arial" w:cs="Arial"/>
          <w:sz w:val="20"/>
        </w:rPr>
        <w:t xml:space="preserve">In peer mentoring, a more experienced student provides </w:t>
      </w:r>
      <w:r w:rsidRPr="005B7D23">
        <w:rPr>
          <w:rFonts w:ascii="Arial" w:hAnsi="Arial" w:cs="Arial"/>
          <w:b/>
          <w:sz w:val="20"/>
        </w:rPr>
        <w:t>guidance</w:t>
      </w:r>
      <w:r>
        <w:rPr>
          <w:rFonts w:ascii="Arial" w:hAnsi="Arial" w:cs="Arial"/>
          <w:sz w:val="20"/>
        </w:rPr>
        <w:t xml:space="preserve"> and </w:t>
      </w:r>
      <w:r w:rsidRPr="005B7D23">
        <w:rPr>
          <w:rFonts w:ascii="Arial" w:hAnsi="Arial" w:cs="Arial"/>
          <w:b/>
          <w:sz w:val="20"/>
        </w:rPr>
        <w:t>support</w:t>
      </w:r>
      <w:r>
        <w:rPr>
          <w:rFonts w:ascii="Arial" w:hAnsi="Arial" w:cs="Arial"/>
          <w:sz w:val="20"/>
        </w:rPr>
        <w:t xml:space="preserve"> to a new or less experienced </w:t>
      </w:r>
      <w:r w:rsidR="005B7D23">
        <w:rPr>
          <w:rFonts w:ascii="Arial" w:hAnsi="Arial" w:cs="Arial"/>
          <w:sz w:val="20"/>
        </w:rPr>
        <w:t xml:space="preserve">student. While the type of support provided is determined by the mentor and mentee depending on the mentee’s needs (and many mentors fill multiple roles!), the general role of the mentor is as a </w:t>
      </w:r>
      <w:r w:rsidR="005B7D23" w:rsidRPr="005B7D23">
        <w:rPr>
          <w:rFonts w:ascii="Arial" w:hAnsi="Arial" w:cs="Arial"/>
          <w:b/>
          <w:sz w:val="20"/>
        </w:rPr>
        <w:t>resource</w:t>
      </w:r>
      <w:r w:rsidR="005B7D23">
        <w:rPr>
          <w:rFonts w:ascii="Arial" w:hAnsi="Arial" w:cs="Arial"/>
          <w:sz w:val="20"/>
        </w:rPr>
        <w:t xml:space="preserve">. </w:t>
      </w:r>
    </w:p>
    <w:p w:rsidR="00A954E8" w:rsidRPr="00A54EC6" w:rsidRDefault="00AA3CEA" w:rsidP="00A54EC6">
      <w:pPr>
        <w:spacing w:after="0" w:line="240" w:lineRule="auto"/>
        <w:rPr>
          <w:rFonts w:ascii="Arial" w:hAnsi="Arial" w:cs="Arial"/>
          <w:sz w:val="20"/>
        </w:rPr>
      </w:pPr>
      <w:r w:rsidRPr="00A54EC6">
        <w:rPr>
          <w:rFonts w:ascii="Arial" w:hAnsi="Arial" w:cs="Arial"/>
          <w:sz w:val="20"/>
        </w:rPr>
        <w:t>Peer mentors may be more advanced students within an academic discipline</w:t>
      </w:r>
      <w:r w:rsidR="00A954E8" w:rsidRPr="00A54EC6">
        <w:rPr>
          <w:rFonts w:ascii="Arial" w:hAnsi="Arial" w:cs="Arial"/>
          <w:sz w:val="20"/>
        </w:rPr>
        <w:t xml:space="preserve"> or more experienced in a subject area; peer mentoring is a process-based system in which a mentor pass</w:t>
      </w:r>
      <w:r w:rsidR="00A54EC6" w:rsidRPr="00A54EC6">
        <w:rPr>
          <w:rFonts w:ascii="Arial" w:hAnsi="Arial" w:cs="Arial"/>
          <w:sz w:val="20"/>
        </w:rPr>
        <w:t>es</w:t>
      </w:r>
      <w:r w:rsidR="00A954E8" w:rsidRPr="00A54EC6">
        <w:rPr>
          <w:rFonts w:ascii="Arial" w:hAnsi="Arial" w:cs="Arial"/>
          <w:sz w:val="20"/>
        </w:rPr>
        <w:t xml:space="preserve"> on knowle</w:t>
      </w:r>
      <w:r w:rsidR="00677D9F">
        <w:rPr>
          <w:rFonts w:ascii="Arial" w:hAnsi="Arial" w:cs="Arial"/>
          <w:sz w:val="20"/>
        </w:rPr>
        <w:t>dge, best practices, or advice. Peer mentoring models lend themselves well to supporting any or all of the following mentoring objectives:</w:t>
      </w:r>
    </w:p>
    <w:p w:rsidR="00A54EC6" w:rsidRDefault="00A54EC6" w:rsidP="00A54EC6">
      <w:pPr>
        <w:pStyle w:val="ListParagraph"/>
        <w:spacing w:after="0" w:line="240" w:lineRule="auto"/>
        <w:rPr>
          <w:rFonts w:ascii="Arial" w:hAnsi="Arial" w:cs="Arial"/>
          <w:sz w:val="20"/>
        </w:rPr>
      </w:pPr>
    </w:p>
    <w:p w:rsidR="00A954E8" w:rsidRPr="00A54EC6" w:rsidRDefault="00A54EC6" w:rsidP="00A54EC6">
      <w:pPr>
        <w:pStyle w:val="ListParagraph"/>
        <w:numPr>
          <w:ilvl w:val="1"/>
          <w:numId w:val="3"/>
        </w:numPr>
        <w:spacing w:after="0" w:line="240" w:lineRule="auto"/>
        <w:rPr>
          <w:rFonts w:ascii="Arial" w:hAnsi="Arial" w:cs="Arial"/>
          <w:sz w:val="20"/>
        </w:rPr>
      </w:pPr>
      <w:r>
        <w:rPr>
          <w:rFonts w:ascii="Arial" w:hAnsi="Arial" w:cs="Arial"/>
          <w:sz w:val="20"/>
        </w:rPr>
        <w:t>Training and orienting</w:t>
      </w:r>
    </w:p>
    <w:p w:rsidR="00B679D6" w:rsidRPr="00A54EC6" w:rsidRDefault="00B679D6" w:rsidP="00A54EC6">
      <w:pPr>
        <w:pStyle w:val="ListParagraph"/>
        <w:numPr>
          <w:ilvl w:val="1"/>
          <w:numId w:val="3"/>
        </w:numPr>
        <w:spacing w:after="0" w:line="240" w:lineRule="auto"/>
        <w:rPr>
          <w:rFonts w:ascii="Arial" w:hAnsi="Arial" w:cs="Arial"/>
          <w:sz w:val="20"/>
        </w:rPr>
      </w:pPr>
      <w:r w:rsidRPr="00A54EC6">
        <w:rPr>
          <w:rFonts w:ascii="Arial" w:hAnsi="Arial" w:cs="Arial"/>
          <w:sz w:val="20"/>
        </w:rPr>
        <w:t xml:space="preserve">Role modeling </w:t>
      </w:r>
    </w:p>
    <w:p w:rsidR="00B679D6" w:rsidRPr="00A54EC6" w:rsidRDefault="00B679D6" w:rsidP="00A54EC6">
      <w:pPr>
        <w:pStyle w:val="ListParagraph"/>
        <w:numPr>
          <w:ilvl w:val="1"/>
          <w:numId w:val="3"/>
        </w:numPr>
        <w:spacing w:after="0" w:line="240" w:lineRule="auto"/>
        <w:rPr>
          <w:rFonts w:ascii="Arial" w:hAnsi="Arial" w:cs="Arial"/>
          <w:sz w:val="20"/>
        </w:rPr>
      </w:pPr>
      <w:r w:rsidRPr="00A54EC6">
        <w:rPr>
          <w:rFonts w:ascii="Arial" w:hAnsi="Arial" w:cs="Arial"/>
          <w:sz w:val="20"/>
        </w:rPr>
        <w:t>Emotional support</w:t>
      </w:r>
    </w:p>
    <w:p w:rsidR="00726822" w:rsidRDefault="00B679D6" w:rsidP="00A54EC6">
      <w:pPr>
        <w:pStyle w:val="ListParagraph"/>
        <w:numPr>
          <w:ilvl w:val="1"/>
          <w:numId w:val="3"/>
        </w:numPr>
        <w:spacing w:after="0" w:line="240" w:lineRule="auto"/>
        <w:rPr>
          <w:rFonts w:ascii="Arial" w:hAnsi="Arial" w:cs="Arial"/>
          <w:sz w:val="20"/>
        </w:rPr>
      </w:pPr>
      <w:r w:rsidRPr="00A54EC6">
        <w:rPr>
          <w:rFonts w:ascii="Arial" w:hAnsi="Arial" w:cs="Arial"/>
          <w:sz w:val="20"/>
        </w:rPr>
        <w:t>Community-building</w:t>
      </w:r>
    </w:p>
    <w:p w:rsidR="00A54EC6" w:rsidRPr="00677D9F" w:rsidRDefault="00A54EC6" w:rsidP="00A54EC6">
      <w:pPr>
        <w:pStyle w:val="ListParagraph"/>
        <w:spacing w:after="0" w:line="240" w:lineRule="auto"/>
        <w:ind w:left="1440"/>
        <w:rPr>
          <w:rFonts w:ascii="Arial" w:hAnsi="Arial" w:cs="Arial"/>
          <w:sz w:val="20"/>
        </w:rPr>
      </w:pPr>
    </w:p>
    <w:p w:rsidR="00726822" w:rsidRPr="00677D9F" w:rsidRDefault="00726822" w:rsidP="00726822">
      <w:pPr>
        <w:rPr>
          <w:rFonts w:ascii="Arial" w:hAnsi="Arial" w:cs="Arial"/>
        </w:rPr>
      </w:pPr>
      <w:r w:rsidRPr="00677D9F">
        <w:rPr>
          <w:rFonts w:ascii="Arial" w:hAnsi="Arial" w:cs="Arial"/>
          <w:color w:val="8C1D40"/>
          <w:sz w:val="28"/>
        </w:rPr>
        <w:t>What are the advantages of peer mentoring?</w:t>
      </w:r>
    </w:p>
    <w:p w:rsidR="00677D9F" w:rsidRPr="00677D9F" w:rsidRDefault="00677D9F" w:rsidP="00677D9F">
      <w:pPr>
        <w:rPr>
          <w:rFonts w:ascii="Arial" w:hAnsi="Arial" w:cs="Arial"/>
          <w:sz w:val="20"/>
        </w:rPr>
      </w:pPr>
      <w:r w:rsidRPr="00677D9F">
        <w:rPr>
          <w:rFonts w:ascii="Arial" w:hAnsi="Arial" w:cs="Arial"/>
          <w:sz w:val="20"/>
        </w:rPr>
        <w:t xml:space="preserve">Peer mentoring increases institutional connection, academic performance, and development of interpersonal competencies for all students, but particularly for those from underrepresented populations. </w:t>
      </w:r>
    </w:p>
    <w:p w:rsidR="00677D9F" w:rsidRPr="00677D9F" w:rsidRDefault="00677D9F" w:rsidP="00677D9F">
      <w:pPr>
        <w:rPr>
          <w:rFonts w:ascii="Arial" w:hAnsi="Arial" w:cs="Arial"/>
          <w:sz w:val="20"/>
        </w:rPr>
      </w:pPr>
      <w:r w:rsidRPr="00677D9F">
        <w:rPr>
          <w:rFonts w:ascii="Arial" w:hAnsi="Arial" w:cs="Arial"/>
          <w:sz w:val="20"/>
        </w:rPr>
        <w:t xml:space="preserve">For mentoring to be effective, it is important that it cultivates a strong mentor/mentee relationship, facilitates institutional connection, and allows students to connect meaningfully. </w:t>
      </w:r>
    </w:p>
    <w:p w:rsidR="00B679D6" w:rsidRPr="00A54EC6" w:rsidRDefault="00B679D6" w:rsidP="00B679D6">
      <w:pPr>
        <w:rPr>
          <w:rFonts w:ascii="Arial" w:hAnsi="Arial" w:cs="Arial"/>
          <w:sz w:val="20"/>
        </w:rPr>
      </w:pPr>
      <w:r w:rsidRPr="00A54EC6">
        <w:rPr>
          <w:rFonts w:ascii="Arial" w:hAnsi="Arial" w:cs="Arial"/>
          <w:sz w:val="20"/>
        </w:rPr>
        <w:t>Peer mentoring has been identified as one of the most successful measures of increasing graduate student success and persistence. Among other things, peer mentoring effects:</w:t>
      </w:r>
    </w:p>
    <w:p w:rsidR="00726822" w:rsidRPr="00A54EC6" w:rsidRDefault="00B679D6" w:rsidP="00A54EC6">
      <w:pPr>
        <w:pStyle w:val="ListParagraph"/>
        <w:numPr>
          <w:ilvl w:val="0"/>
          <w:numId w:val="4"/>
        </w:numPr>
        <w:rPr>
          <w:rFonts w:ascii="Arial" w:hAnsi="Arial" w:cs="Arial"/>
          <w:sz w:val="20"/>
        </w:rPr>
      </w:pPr>
      <w:r w:rsidRPr="00A54EC6">
        <w:rPr>
          <w:rFonts w:ascii="Arial" w:hAnsi="Arial" w:cs="Arial"/>
          <w:sz w:val="20"/>
        </w:rPr>
        <w:t>Confidence-building</w:t>
      </w:r>
    </w:p>
    <w:p w:rsidR="00B679D6" w:rsidRPr="00A54EC6" w:rsidRDefault="00B679D6" w:rsidP="00A54EC6">
      <w:pPr>
        <w:pStyle w:val="ListParagraph"/>
        <w:numPr>
          <w:ilvl w:val="0"/>
          <w:numId w:val="4"/>
        </w:numPr>
        <w:rPr>
          <w:rFonts w:ascii="Arial" w:hAnsi="Arial" w:cs="Arial"/>
          <w:sz w:val="20"/>
        </w:rPr>
      </w:pPr>
      <w:r w:rsidRPr="00A54EC6">
        <w:rPr>
          <w:rFonts w:ascii="Arial" w:hAnsi="Arial" w:cs="Arial"/>
          <w:sz w:val="20"/>
        </w:rPr>
        <w:t>Skill-building</w:t>
      </w:r>
    </w:p>
    <w:p w:rsidR="00677D9F" w:rsidRPr="00677D9F" w:rsidRDefault="00B679D6" w:rsidP="00677D9F">
      <w:pPr>
        <w:pStyle w:val="ListParagraph"/>
        <w:numPr>
          <w:ilvl w:val="0"/>
          <w:numId w:val="4"/>
        </w:numPr>
        <w:rPr>
          <w:rFonts w:ascii="Arial" w:hAnsi="Arial" w:cs="Arial"/>
          <w:sz w:val="20"/>
        </w:rPr>
      </w:pPr>
      <w:r w:rsidRPr="00A54EC6">
        <w:rPr>
          <w:rFonts w:ascii="Arial" w:hAnsi="Arial" w:cs="Arial"/>
          <w:sz w:val="20"/>
        </w:rPr>
        <w:t>Affinity-building</w:t>
      </w:r>
    </w:p>
    <w:p w:rsidR="00726822" w:rsidRPr="00677D9F" w:rsidRDefault="00677D9F" w:rsidP="00726822">
      <w:pPr>
        <w:rPr>
          <w:rFonts w:ascii="Arial" w:hAnsi="Arial" w:cs="Arial"/>
          <w:color w:val="8C1D40"/>
          <w:sz w:val="28"/>
        </w:rPr>
      </w:pPr>
      <w:r>
        <w:rPr>
          <w:rFonts w:ascii="Arial" w:hAnsi="Arial" w:cs="Arial"/>
          <w:color w:val="8C1D40"/>
          <w:sz w:val="28"/>
        </w:rPr>
        <w:lastRenderedPageBreak/>
        <w:t>Tips for establishing peer mentor matches</w:t>
      </w:r>
    </w:p>
    <w:p w:rsidR="00726822" w:rsidRDefault="00A54EC6" w:rsidP="00726822">
      <w:pPr>
        <w:rPr>
          <w:rFonts w:ascii="Arial" w:hAnsi="Arial" w:cs="Arial"/>
          <w:sz w:val="20"/>
        </w:rPr>
      </w:pPr>
      <w:r w:rsidRPr="00A54EC6">
        <w:rPr>
          <w:rFonts w:ascii="Arial" w:hAnsi="Arial" w:cs="Arial"/>
          <w:sz w:val="20"/>
        </w:rPr>
        <w:t xml:space="preserve">The success of peer mentoring depends on the strength of the mentor-mentee relationship. </w:t>
      </w:r>
      <w:r>
        <w:rPr>
          <w:rFonts w:ascii="Arial" w:hAnsi="Arial" w:cs="Arial"/>
          <w:sz w:val="20"/>
        </w:rPr>
        <w:t xml:space="preserve">Personalized matches </w:t>
      </w:r>
      <w:r w:rsidR="00677D9F">
        <w:rPr>
          <w:rFonts w:ascii="Arial" w:hAnsi="Arial" w:cs="Arial"/>
          <w:sz w:val="20"/>
        </w:rPr>
        <w:t>taking</w:t>
      </w:r>
      <w:r>
        <w:rPr>
          <w:rFonts w:ascii="Arial" w:hAnsi="Arial" w:cs="Arial"/>
          <w:sz w:val="20"/>
        </w:rPr>
        <w:t xml:space="preserve"> account </w:t>
      </w:r>
      <w:r w:rsidR="00677D9F">
        <w:rPr>
          <w:rFonts w:ascii="Arial" w:hAnsi="Arial" w:cs="Arial"/>
          <w:sz w:val="20"/>
        </w:rPr>
        <w:t>of</w:t>
      </w:r>
      <w:r>
        <w:rPr>
          <w:rFonts w:ascii="Arial" w:hAnsi="Arial" w:cs="Arial"/>
          <w:sz w:val="20"/>
        </w:rPr>
        <w:t xml:space="preserve"> both mentor/mentee interests, aptitudes, desired outcomes and personalities are important.</w:t>
      </w:r>
    </w:p>
    <w:p w:rsidR="00A54EC6" w:rsidRDefault="00A54EC6" w:rsidP="00A54EC6">
      <w:pPr>
        <w:pStyle w:val="ListParagraph"/>
        <w:numPr>
          <w:ilvl w:val="0"/>
          <w:numId w:val="7"/>
        </w:numPr>
        <w:rPr>
          <w:rFonts w:ascii="Arial" w:hAnsi="Arial" w:cs="Arial"/>
          <w:sz w:val="20"/>
        </w:rPr>
      </w:pPr>
      <w:r>
        <w:rPr>
          <w:rFonts w:ascii="Arial" w:hAnsi="Arial" w:cs="Arial"/>
          <w:sz w:val="20"/>
        </w:rPr>
        <w:t xml:space="preserve">When possible, mentees </w:t>
      </w:r>
      <w:r w:rsidR="00677D9F">
        <w:rPr>
          <w:rFonts w:ascii="Arial" w:hAnsi="Arial" w:cs="Arial"/>
          <w:sz w:val="20"/>
        </w:rPr>
        <w:t xml:space="preserve">should be allowed </w:t>
      </w:r>
      <w:r>
        <w:rPr>
          <w:rFonts w:ascii="Arial" w:hAnsi="Arial" w:cs="Arial"/>
          <w:sz w:val="20"/>
        </w:rPr>
        <w:t>to ‘interview’ 3 – 4 potential mentor</w:t>
      </w:r>
      <w:r w:rsidR="00677D9F">
        <w:rPr>
          <w:rFonts w:ascii="Arial" w:hAnsi="Arial" w:cs="Arial"/>
          <w:sz w:val="20"/>
        </w:rPr>
        <w:t>s</w:t>
      </w:r>
      <w:r>
        <w:rPr>
          <w:rFonts w:ascii="Arial" w:hAnsi="Arial" w:cs="Arial"/>
          <w:sz w:val="20"/>
        </w:rPr>
        <w:t xml:space="preserve">. </w:t>
      </w:r>
      <w:r w:rsidR="00677D9F">
        <w:rPr>
          <w:rFonts w:ascii="Arial" w:hAnsi="Arial" w:cs="Arial"/>
          <w:sz w:val="20"/>
        </w:rPr>
        <w:t>It is important for both</w:t>
      </w:r>
      <w:r>
        <w:rPr>
          <w:rFonts w:ascii="Arial" w:hAnsi="Arial" w:cs="Arial"/>
          <w:sz w:val="20"/>
        </w:rPr>
        <w:t xml:space="preserve"> mentor and mentee </w:t>
      </w:r>
      <w:r w:rsidR="00677D9F">
        <w:rPr>
          <w:rFonts w:ascii="Arial" w:hAnsi="Arial" w:cs="Arial"/>
          <w:sz w:val="20"/>
        </w:rPr>
        <w:t>to</w:t>
      </w:r>
      <w:r>
        <w:rPr>
          <w:rFonts w:ascii="Arial" w:hAnsi="Arial" w:cs="Arial"/>
          <w:sz w:val="20"/>
        </w:rPr>
        <w:t xml:space="preserve"> have </w:t>
      </w:r>
      <w:r w:rsidR="00677D9F">
        <w:rPr>
          <w:rFonts w:ascii="Arial" w:hAnsi="Arial" w:cs="Arial"/>
          <w:sz w:val="20"/>
        </w:rPr>
        <w:t>identify whether a potential mentoring relationship is a good fit</w:t>
      </w:r>
      <w:r>
        <w:rPr>
          <w:rFonts w:ascii="Arial" w:hAnsi="Arial" w:cs="Arial"/>
          <w:sz w:val="20"/>
        </w:rPr>
        <w:t>.</w:t>
      </w:r>
    </w:p>
    <w:p w:rsidR="00A54EC6" w:rsidRDefault="00A54EC6" w:rsidP="00A54EC6">
      <w:pPr>
        <w:pStyle w:val="ListParagraph"/>
        <w:numPr>
          <w:ilvl w:val="0"/>
          <w:numId w:val="7"/>
        </w:numPr>
        <w:rPr>
          <w:rFonts w:ascii="Arial" w:hAnsi="Arial" w:cs="Arial"/>
          <w:sz w:val="20"/>
        </w:rPr>
      </w:pPr>
      <w:r>
        <w:rPr>
          <w:rFonts w:ascii="Arial" w:hAnsi="Arial" w:cs="Arial"/>
          <w:sz w:val="20"/>
        </w:rPr>
        <w:t xml:space="preserve">Mentor/mentee social functions can be a fun, social way </w:t>
      </w:r>
      <w:r w:rsidR="00677D9F">
        <w:rPr>
          <w:rFonts w:ascii="Arial" w:hAnsi="Arial" w:cs="Arial"/>
          <w:sz w:val="20"/>
        </w:rPr>
        <w:t>to allow potential mentors and mentees to meet and chat with potential matches</w:t>
      </w:r>
      <w:r>
        <w:rPr>
          <w:rFonts w:ascii="Arial" w:hAnsi="Arial" w:cs="Arial"/>
          <w:sz w:val="20"/>
        </w:rPr>
        <w:t>.</w:t>
      </w:r>
    </w:p>
    <w:p w:rsidR="00726822" w:rsidRPr="00A54EC6" w:rsidRDefault="00A54EC6" w:rsidP="00726822">
      <w:pPr>
        <w:pStyle w:val="ListParagraph"/>
        <w:numPr>
          <w:ilvl w:val="0"/>
          <w:numId w:val="7"/>
        </w:numPr>
        <w:rPr>
          <w:rFonts w:ascii="Arial" w:hAnsi="Arial" w:cs="Arial"/>
          <w:sz w:val="20"/>
        </w:rPr>
      </w:pPr>
      <w:r>
        <w:rPr>
          <w:rFonts w:ascii="Arial" w:hAnsi="Arial" w:cs="Arial"/>
          <w:sz w:val="20"/>
        </w:rPr>
        <w:t>Mentorship relationships in which mentor/mentee choice is taken into account have higher success rates than those matched based on matrix- or profile-based matching.</w:t>
      </w:r>
      <w:bookmarkStart w:id="0" w:name="_GoBack"/>
      <w:bookmarkEnd w:id="0"/>
    </w:p>
    <w:p w:rsidR="009E1551" w:rsidRPr="00677D9F" w:rsidRDefault="00677D9F" w:rsidP="009E1551">
      <w:pPr>
        <w:spacing w:line="480" w:lineRule="auto"/>
        <w:rPr>
          <w:rFonts w:ascii="Arial" w:hAnsi="Arial" w:cs="Arial"/>
          <w:b/>
          <w:color w:val="7F7F7F" w:themeColor="text1" w:themeTint="80"/>
          <w:sz w:val="28"/>
          <w:szCs w:val="18"/>
        </w:rPr>
      </w:pPr>
      <w:r w:rsidRPr="002D663E">
        <w:rPr>
          <w:rFonts w:ascii="Arial" w:hAnsi="Arial" w:cs="Arial"/>
          <w:color w:val="7F7F7F" w:themeColor="text1" w:themeTint="80"/>
          <w:sz w:val="20"/>
        </w:rPr>
        <w:t>_____________________________________________</w:t>
      </w:r>
    </w:p>
    <w:p w:rsidR="00677D9F" w:rsidRPr="00677D9F" w:rsidRDefault="00677D9F" w:rsidP="00677D9F">
      <w:pPr>
        <w:spacing w:after="0" w:line="480" w:lineRule="auto"/>
        <w:rPr>
          <w:rFonts w:ascii="Arial" w:hAnsi="Arial" w:cs="Arial"/>
          <w:color w:val="7F7F7F" w:themeColor="text1" w:themeTint="80"/>
          <w:szCs w:val="18"/>
        </w:rPr>
      </w:pPr>
      <w:r w:rsidRPr="00677D9F">
        <w:rPr>
          <w:rFonts w:ascii="Arial" w:hAnsi="Arial" w:cs="Arial"/>
          <w:color w:val="7F7F7F" w:themeColor="text1" w:themeTint="80"/>
          <w:szCs w:val="18"/>
        </w:rPr>
        <w:t>References</w:t>
      </w:r>
    </w:p>
    <w:p w:rsidR="009E1551" w:rsidRPr="00677D9F" w:rsidRDefault="009E1551" w:rsidP="00677D9F">
      <w:pPr>
        <w:spacing w:after="0" w:line="240" w:lineRule="auto"/>
        <w:ind w:left="720" w:hanging="720"/>
        <w:rPr>
          <w:rFonts w:ascii="Arial" w:hAnsi="Arial" w:cs="Arial"/>
          <w:color w:val="7F7F7F" w:themeColor="text1" w:themeTint="80"/>
          <w:szCs w:val="18"/>
        </w:rPr>
      </w:pPr>
      <w:r w:rsidRPr="00677D9F">
        <w:rPr>
          <w:rFonts w:ascii="Arial" w:hAnsi="Arial" w:cs="Arial"/>
          <w:color w:val="7F7F7F" w:themeColor="text1" w:themeTint="80"/>
          <w:sz w:val="16"/>
          <w:szCs w:val="16"/>
        </w:rPr>
        <w:t xml:space="preserve">Ballantine, J. H. &amp; Jolly-Ballantine, J. A. (2015). </w:t>
      </w:r>
      <w:r w:rsidRPr="00677D9F">
        <w:rPr>
          <w:rFonts w:ascii="Arial" w:hAnsi="Arial" w:cs="Arial"/>
          <w:i/>
          <w:color w:val="7F7F7F" w:themeColor="text1" w:themeTint="80"/>
          <w:sz w:val="16"/>
          <w:szCs w:val="16"/>
        </w:rPr>
        <w:t xml:space="preserve">Mentoring graduate students: The good, bad, and gray. </w:t>
      </w:r>
      <w:r w:rsidRPr="00677D9F">
        <w:rPr>
          <w:rFonts w:ascii="Arial" w:hAnsi="Arial" w:cs="Arial"/>
          <w:color w:val="7F7F7F" w:themeColor="text1" w:themeTint="80"/>
          <w:sz w:val="16"/>
          <w:szCs w:val="16"/>
        </w:rPr>
        <w:t>Journal on Excellence in College Teaching, 26(2), 5-41.</w:t>
      </w:r>
    </w:p>
    <w:p w:rsidR="009E1551" w:rsidRPr="00677D9F" w:rsidRDefault="009E1551" w:rsidP="00677D9F">
      <w:pPr>
        <w:spacing w:before="240" w:after="0" w:line="240" w:lineRule="auto"/>
        <w:ind w:left="720" w:hanging="720"/>
        <w:rPr>
          <w:rFonts w:ascii="Arial" w:hAnsi="Arial" w:cs="Arial"/>
          <w:i/>
          <w:color w:val="7F7F7F" w:themeColor="text1" w:themeTint="80"/>
          <w:sz w:val="16"/>
          <w:szCs w:val="16"/>
        </w:rPr>
      </w:pPr>
      <w:r w:rsidRPr="00677D9F">
        <w:rPr>
          <w:rFonts w:ascii="Arial" w:hAnsi="Arial" w:cs="Arial"/>
          <w:color w:val="7F7F7F" w:themeColor="text1" w:themeTint="80"/>
          <w:sz w:val="16"/>
          <w:szCs w:val="16"/>
        </w:rPr>
        <w:t xml:space="preserve">Bancroft, S. (2013). </w:t>
      </w:r>
      <w:r w:rsidRPr="00677D9F">
        <w:rPr>
          <w:rFonts w:ascii="Arial" w:hAnsi="Arial" w:cs="Arial"/>
          <w:i/>
          <w:color w:val="7F7F7F" w:themeColor="text1" w:themeTint="80"/>
          <w:sz w:val="16"/>
          <w:szCs w:val="16"/>
        </w:rPr>
        <w:t>Capital, kinship, and white privilege: Social and cultural influences upon the minority doctoral experience in the sciences</w:t>
      </w:r>
      <w:r w:rsidRPr="00677D9F">
        <w:rPr>
          <w:rFonts w:ascii="Arial" w:hAnsi="Arial" w:cs="Arial"/>
          <w:color w:val="7F7F7F" w:themeColor="text1" w:themeTint="80"/>
          <w:sz w:val="16"/>
          <w:szCs w:val="16"/>
        </w:rPr>
        <w:t>. Multicultural Education, 20(2), 10-16.</w:t>
      </w:r>
    </w:p>
    <w:p w:rsidR="009E1551" w:rsidRPr="00677D9F" w:rsidRDefault="009E1551" w:rsidP="00677D9F">
      <w:pPr>
        <w:spacing w:before="240" w:after="0" w:line="240" w:lineRule="auto"/>
        <w:ind w:left="720" w:hanging="720"/>
        <w:rPr>
          <w:rFonts w:ascii="Arial" w:hAnsi="Arial" w:cs="Arial"/>
          <w:color w:val="7F7F7F" w:themeColor="text1" w:themeTint="80"/>
          <w:sz w:val="16"/>
          <w:szCs w:val="16"/>
        </w:rPr>
      </w:pPr>
      <w:r w:rsidRPr="00677D9F">
        <w:rPr>
          <w:rFonts w:ascii="Arial" w:hAnsi="Arial" w:cs="Arial"/>
          <w:color w:val="7F7F7F" w:themeColor="text1" w:themeTint="80"/>
          <w:sz w:val="16"/>
          <w:szCs w:val="16"/>
        </w:rPr>
        <w:t xml:space="preserve">Chan, A. W. (2008). </w:t>
      </w:r>
      <w:r w:rsidRPr="00677D9F">
        <w:rPr>
          <w:rFonts w:ascii="Arial" w:hAnsi="Arial" w:cs="Arial"/>
          <w:i/>
          <w:color w:val="7F7F7F" w:themeColor="text1" w:themeTint="80"/>
          <w:sz w:val="16"/>
          <w:szCs w:val="16"/>
        </w:rPr>
        <w:t>Mentoring ethnic minorities, pre-doctoral students: an analysis of key mentor practices</w:t>
      </w:r>
      <w:r w:rsidRPr="00677D9F">
        <w:rPr>
          <w:rFonts w:ascii="Arial" w:hAnsi="Arial" w:cs="Arial"/>
          <w:color w:val="7F7F7F" w:themeColor="text1" w:themeTint="80"/>
          <w:sz w:val="16"/>
          <w:szCs w:val="16"/>
        </w:rPr>
        <w:t>. Mentoring and Tutoring: Partnership in Learning, 16(3), 263-277.</w:t>
      </w:r>
    </w:p>
    <w:p w:rsidR="009E1551" w:rsidRPr="00677D9F" w:rsidRDefault="009E1551" w:rsidP="00677D9F">
      <w:pPr>
        <w:spacing w:before="240" w:after="0" w:line="240" w:lineRule="auto"/>
        <w:ind w:left="720" w:hanging="720"/>
        <w:rPr>
          <w:rFonts w:ascii="Arial" w:hAnsi="Arial" w:cs="Arial"/>
          <w:color w:val="7F7F7F" w:themeColor="text1" w:themeTint="80"/>
          <w:sz w:val="16"/>
          <w:szCs w:val="16"/>
        </w:rPr>
      </w:pPr>
      <w:r w:rsidRPr="00677D9F">
        <w:rPr>
          <w:rFonts w:ascii="Arial" w:hAnsi="Arial" w:cs="Arial"/>
          <w:color w:val="7F7F7F" w:themeColor="text1" w:themeTint="80"/>
          <w:sz w:val="16"/>
          <w:szCs w:val="16"/>
        </w:rPr>
        <w:t xml:space="preserve">Creighton, L., </w:t>
      </w:r>
      <w:proofErr w:type="spellStart"/>
      <w:r w:rsidRPr="00677D9F">
        <w:rPr>
          <w:rFonts w:ascii="Arial" w:hAnsi="Arial" w:cs="Arial"/>
          <w:color w:val="7F7F7F" w:themeColor="text1" w:themeTint="80"/>
          <w:sz w:val="16"/>
          <w:szCs w:val="16"/>
        </w:rPr>
        <w:t>Creignton</w:t>
      </w:r>
      <w:proofErr w:type="spellEnd"/>
      <w:r w:rsidRPr="00677D9F">
        <w:rPr>
          <w:rFonts w:ascii="Arial" w:hAnsi="Arial" w:cs="Arial"/>
          <w:color w:val="7F7F7F" w:themeColor="text1" w:themeTint="80"/>
          <w:sz w:val="16"/>
          <w:szCs w:val="16"/>
        </w:rPr>
        <w:t xml:space="preserve">, T., &amp; Parks, D. (2010). </w:t>
      </w:r>
      <w:r w:rsidRPr="00677D9F">
        <w:rPr>
          <w:rFonts w:ascii="Arial" w:hAnsi="Arial" w:cs="Arial"/>
          <w:i/>
          <w:color w:val="7F7F7F" w:themeColor="text1" w:themeTint="80"/>
          <w:sz w:val="16"/>
          <w:szCs w:val="16"/>
        </w:rPr>
        <w:t xml:space="preserve">Mentoring to degree completion: expanding the horizons of doctoral </w:t>
      </w:r>
      <w:proofErr w:type="spellStart"/>
      <w:r w:rsidRPr="00677D9F">
        <w:rPr>
          <w:rFonts w:ascii="Arial" w:hAnsi="Arial" w:cs="Arial"/>
          <w:i/>
          <w:color w:val="7F7F7F" w:themeColor="text1" w:themeTint="80"/>
          <w:sz w:val="16"/>
          <w:szCs w:val="16"/>
        </w:rPr>
        <w:t>proteges</w:t>
      </w:r>
      <w:proofErr w:type="spellEnd"/>
      <w:r w:rsidRPr="00677D9F">
        <w:rPr>
          <w:rFonts w:ascii="Arial" w:hAnsi="Arial" w:cs="Arial"/>
          <w:color w:val="7F7F7F" w:themeColor="text1" w:themeTint="80"/>
          <w:sz w:val="16"/>
          <w:szCs w:val="16"/>
        </w:rPr>
        <w:t>. Mentoring and Tutoring: Partnership in Learning, 18(1), 39-52.</w:t>
      </w:r>
    </w:p>
    <w:p w:rsidR="009E1551" w:rsidRPr="00677D9F" w:rsidRDefault="009E1551" w:rsidP="00677D9F">
      <w:pPr>
        <w:spacing w:before="240" w:after="0" w:line="240" w:lineRule="auto"/>
        <w:ind w:left="720" w:hanging="720"/>
        <w:rPr>
          <w:rFonts w:ascii="Arial" w:hAnsi="Arial" w:cs="Arial"/>
          <w:color w:val="7F7F7F" w:themeColor="text1" w:themeTint="80"/>
          <w:sz w:val="16"/>
          <w:szCs w:val="16"/>
        </w:rPr>
      </w:pPr>
      <w:proofErr w:type="spellStart"/>
      <w:r w:rsidRPr="00677D9F">
        <w:rPr>
          <w:rFonts w:ascii="Arial" w:hAnsi="Arial" w:cs="Arial"/>
          <w:color w:val="7F7F7F" w:themeColor="text1" w:themeTint="80"/>
          <w:sz w:val="16"/>
          <w:szCs w:val="16"/>
        </w:rPr>
        <w:t>Litalien</w:t>
      </w:r>
      <w:proofErr w:type="spellEnd"/>
      <w:r w:rsidRPr="00677D9F">
        <w:rPr>
          <w:rFonts w:ascii="Arial" w:hAnsi="Arial" w:cs="Arial"/>
          <w:color w:val="7F7F7F" w:themeColor="text1" w:themeTint="80"/>
          <w:sz w:val="16"/>
          <w:szCs w:val="16"/>
        </w:rPr>
        <w:t xml:space="preserve">, D. &amp; </w:t>
      </w:r>
      <w:proofErr w:type="spellStart"/>
      <w:r w:rsidRPr="00677D9F">
        <w:rPr>
          <w:rFonts w:ascii="Arial" w:hAnsi="Arial" w:cs="Arial"/>
          <w:color w:val="7F7F7F" w:themeColor="text1" w:themeTint="80"/>
          <w:sz w:val="16"/>
          <w:szCs w:val="16"/>
        </w:rPr>
        <w:t>Guay</w:t>
      </w:r>
      <w:proofErr w:type="spellEnd"/>
      <w:r w:rsidRPr="00677D9F">
        <w:rPr>
          <w:rFonts w:ascii="Arial" w:hAnsi="Arial" w:cs="Arial"/>
          <w:color w:val="7F7F7F" w:themeColor="text1" w:themeTint="80"/>
          <w:sz w:val="16"/>
          <w:szCs w:val="16"/>
        </w:rPr>
        <w:t xml:space="preserve">, F. (2015). </w:t>
      </w:r>
      <w:r w:rsidRPr="00677D9F">
        <w:rPr>
          <w:rFonts w:ascii="Arial" w:hAnsi="Arial" w:cs="Arial"/>
          <w:i/>
          <w:color w:val="7F7F7F" w:themeColor="text1" w:themeTint="80"/>
          <w:sz w:val="16"/>
          <w:szCs w:val="16"/>
        </w:rPr>
        <w:t>Dropout intentions in PhD studies: A comprehensive model based on interpersonal relationships and motivational resources</w:t>
      </w:r>
      <w:r w:rsidRPr="00677D9F">
        <w:rPr>
          <w:rFonts w:ascii="Arial" w:hAnsi="Arial" w:cs="Arial"/>
          <w:color w:val="7F7F7F" w:themeColor="text1" w:themeTint="80"/>
          <w:sz w:val="16"/>
          <w:szCs w:val="16"/>
        </w:rPr>
        <w:t>. Contemporary Educational Psychology, 41, 218-231.</w:t>
      </w:r>
    </w:p>
    <w:p w:rsidR="009E1551" w:rsidRPr="00677D9F" w:rsidRDefault="009E1551" w:rsidP="00677D9F">
      <w:pPr>
        <w:spacing w:before="240" w:after="0" w:line="240" w:lineRule="auto"/>
        <w:ind w:left="720" w:hanging="720"/>
        <w:rPr>
          <w:rFonts w:ascii="Arial" w:hAnsi="Arial" w:cs="Arial"/>
          <w:color w:val="7F7F7F" w:themeColor="text1" w:themeTint="80"/>
          <w:sz w:val="16"/>
          <w:szCs w:val="16"/>
        </w:rPr>
      </w:pPr>
      <w:r w:rsidRPr="00677D9F">
        <w:rPr>
          <w:rFonts w:ascii="Arial" w:hAnsi="Arial" w:cs="Arial"/>
          <w:color w:val="7F7F7F" w:themeColor="text1" w:themeTint="80"/>
          <w:sz w:val="16"/>
          <w:szCs w:val="16"/>
        </w:rPr>
        <w:t xml:space="preserve">Miller, M. &amp; </w:t>
      </w:r>
      <w:proofErr w:type="spellStart"/>
      <w:r w:rsidRPr="00677D9F">
        <w:rPr>
          <w:rFonts w:ascii="Arial" w:hAnsi="Arial" w:cs="Arial"/>
          <w:color w:val="7F7F7F" w:themeColor="text1" w:themeTint="80"/>
          <w:sz w:val="16"/>
          <w:szCs w:val="16"/>
        </w:rPr>
        <w:t>Deggs</w:t>
      </w:r>
      <w:proofErr w:type="spellEnd"/>
      <w:r w:rsidRPr="00677D9F">
        <w:rPr>
          <w:rFonts w:ascii="Arial" w:hAnsi="Arial" w:cs="Arial"/>
          <w:color w:val="7F7F7F" w:themeColor="text1" w:themeTint="80"/>
          <w:sz w:val="16"/>
          <w:szCs w:val="16"/>
        </w:rPr>
        <w:t xml:space="preserve">, D. (2012). </w:t>
      </w:r>
      <w:r w:rsidRPr="00677D9F">
        <w:rPr>
          <w:rFonts w:ascii="Arial" w:hAnsi="Arial" w:cs="Arial"/>
          <w:i/>
          <w:color w:val="7F7F7F" w:themeColor="text1" w:themeTint="80"/>
          <w:sz w:val="16"/>
          <w:szCs w:val="16"/>
        </w:rPr>
        <w:t>The changing paradigm of graduate student professional socialization and mentoring in graduate adult education programs</w:t>
      </w:r>
      <w:r w:rsidRPr="00677D9F">
        <w:rPr>
          <w:rFonts w:ascii="Arial" w:hAnsi="Arial" w:cs="Arial"/>
          <w:color w:val="7F7F7F" w:themeColor="text1" w:themeTint="80"/>
          <w:sz w:val="16"/>
          <w:szCs w:val="16"/>
        </w:rPr>
        <w:t>. Journal of Faculty Development, 26(2), 24-28.</w:t>
      </w:r>
    </w:p>
    <w:p w:rsidR="009E1551" w:rsidRPr="00677D9F" w:rsidRDefault="009E1551" w:rsidP="00677D9F">
      <w:pPr>
        <w:spacing w:before="240" w:after="0" w:line="240" w:lineRule="auto"/>
        <w:ind w:left="720" w:hanging="720"/>
        <w:rPr>
          <w:rFonts w:ascii="Arial" w:hAnsi="Arial" w:cs="Arial"/>
          <w:color w:val="7F7F7F" w:themeColor="text1" w:themeTint="80"/>
          <w:sz w:val="16"/>
          <w:szCs w:val="16"/>
        </w:rPr>
      </w:pPr>
      <w:r w:rsidRPr="00677D9F">
        <w:rPr>
          <w:rFonts w:ascii="Arial" w:hAnsi="Arial" w:cs="Arial"/>
          <w:color w:val="7F7F7F" w:themeColor="text1" w:themeTint="80"/>
          <w:sz w:val="16"/>
          <w:szCs w:val="16"/>
        </w:rPr>
        <w:t xml:space="preserve">Sowell, R. S., </w:t>
      </w:r>
      <w:proofErr w:type="spellStart"/>
      <w:r w:rsidRPr="00677D9F">
        <w:rPr>
          <w:rFonts w:ascii="Arial" w:hAnsi="Arial" w:cs="Arial"/>
          <w:color w:val="7F7F7F" w:themeColor="text1" w:themeTint="80"/>
          <w:sz w:val="16"/>
          <w:szCs w:val="16"/>
        </w:rPr>
        <w:t>Allum</w:t>
      </w:r>
      <w:proofErr w:type="spellEnd"/>
      <w:r w:rsidRPr="00677D9F">
        <w:rPr>
          <w:rFonts w:ascii="Arial" w:hAnsi="Arial" w:cs="Arial"/>
          <w:color w:val="7F7F7F" w:themeColor="text1" w:themeTint="80"/>
          <w:sz w:val="16"/>
          <w:szCs w:val="16"/>
        </w:rPr>
        <w:t xml:space="preserve">. J., &amp; </w:t>
      </w:r>
      <w:proofErr w:type="spellStart"/>
      <w:r w:rsidRPr="00677D9F">
        <w:rPr>
          <w:rFonts w:ascii="Arial" w:hAnsi="Arial" w:cs="Arial"/>
          <w:color w:val="7F7F7F" w:themeColor="text1" w:themeTint="80"/>
          <w:sz w:val="16"/>
          <w:szCs w:val="16"/>
        </w:rPr>
        <w:t>Okahana</w:t>
      </w:r>
      <w:proofErr w:type="spellEnd"/>
      <w:r w:rsidRPr="00677D9F">
        <w:rPr>
          <w:rFonts w:ascii="Arial" w:hAnsi="Arial" w:cs="Arial"/>
          <w:color w:val="7F7F7F" w:themeColor="text1" w:themeTint="80"/>
          <w:sz w:val="16"/>
          <w:szCs w:val="16"/>
        </w:rPr>
        <w:t xml:space="preserve">, H. (2015). </w:t>
      </w:r>
      <w:r w:rsidRPr="00677D9F">
        <w:rPr>
          <w:rFonts w:ascii="Arial" w:hAnsi="Arial" w:cs="Arial"/>
          <w:i/>
          <w:color w:val="7F7F7F" w:themeColor="text1" w:themeTint="80"/>
          <w:sz w:val="16"/>
          <w:szCs w:val="16"/>
        </w:rPr>
        <w:t>Doctoral initiative on minority attrition and completion.</w:t>
      </w:r>
      <w:r w:rsidRPr="00677D9F">
        <w:rPr>
          <w:rFonts w:ascii="Arial" w:hAnsi="Arial" w:cs="Arial"/>
          <w:color w:val="7F7F7F" w:themeColor="text1" w:themeTint="80"/>
          <w:sz w:val="16"/>
          <w:szCs w:val="16"/>
        </w:rPr>
        <w:t xml:space="preserve"> Washington, DC: Council of Graduate Schools. </w:t>
      </w:r>
    </w:p>
    <w:p w:rsidR="009E1551" w:rsidRPr="00677D9F" w:rsidRDefault="009E1551" w:rsidP="00677D9F">
      <w:pPr>
        <w:spacing w:before="240" w:after="0" w:line="240" w:lineRule="auto"/>
        <w:ind w:left="720" w:hanging="720"/>
        <w:rPr>
          <w:rFonts w:ascii="Arial" w:hAnsi="Arial" w:cs="Arial"/>
          <w:color w:val="7F7F7F" w:themeColor="text1" w:themeTint="80"/>
          <w:sz w:val="16"/>
          <w:szCs w:val="16"/>
        </w:rPr>
      </w:pPr>
      <w:r w:rsidRPr="00677D9F">
        <w:rPr>
          <w:rFonts w:ascii="Arial" w:hAnsi="Arial" w:cs="Arial"/>
          <w:color w:val="7F7F7F" w:themeColor="text1" w:themeTint="80"/>
          <w:sz w:val="16"/>
          <w:szCs w:val="16"/>
        </w:rPr>
        <w:t xml:space="preserve">Sowell, R. S., Bell, N., Kirby, S. N., &amp; </w:t>
      </w:r>
      <w:proofErr w:type="spellStart"/>
      <w:r w:rsidRPr="00677D9F">
        <w:rPr>
          <w:rFonts w:ascii="Arial" w:hAnsi="Arial" w:cs="Arial"/>
          <w:color w:val="7F7F7F" w:themeColor="text1" w:themeTint="80"/>
          <w:sz w:val="16"/>
          <w:szCs w:val="16"/>
        </w:rPr>
        <w:t>Naftel</w:t>
      </w:r>
      <w:proofErr w:type="spellEnd"/>
      <w:r w:rsidRPr="00677D9F">
        <w:rPr>
          <w:rFonts w:ascii="Arial" w:hAnsi="Arial" w:cs="Arial"/>
          <w:color w:val="7F7F7F" w:themeColor="text1" w:themeTint="80"/>
          <w:sz w:val="16"/>
          <w:szCs w:val="16"/>
        </w:rPr>
        <w:t xml:space="preserve">, S. (2009). </w:t>
      </w:r>
      <w:r w:rsidRPr="00677D9F">
        <w:rPr>
          <w:rFonts w:ascii="Arial" w:hAnsi="Arial" w:cs="Arial"/>
          <w:i/>
          <w:color w:val="7F7F7F" w:themeColor="text1" w:themeTint="80"/>
          <w:sz w:val="16"/>
          <w:szCs w:val="16"/>
        </w:rPr>
        <w:t>Ph.D. completion and attrition: Findings from exit surveys of Ph.D. completers</w:t>
      </w:r>
      <w:r w:rsidRPr="00677D9F">
        <w:rPr>
          <w:rFonts w:ascii="Arial" w:hAnsi="Arial" w:cs="Arial"/>
          <w:color w:val="7F7F7F" w:themeColor="text1" w:themeTint="80"/>
          <w:sz w:val="16"/>
          <w:szCs w:val="16"/>
        </w:rPr>
        <w:t xml:space="preserve">. Washington, DC: Council of Graduate Schools. </w:t>
      </w:r>
    </w:p>
    <w:p w:rsidR="009E1551" w:rsidRPr="00677D9F" w:rsidRDefault="009E1551" w:rsidP="00677D9F">
      <w:pPr>
        <w:spacing w:before="240" w:after="0" w:line="240" w:lineRule="auto"/>
        <w:ind w:left="720" w:hanging="720"/>
        <w:rPr>
          <w:rFonts w:ascii="Arial" w:hAnsi="Arial" w:cs="Arial"/>
          <w:color w:val="7F7F7F" w:themeColor="text1" w:themeTint="80"/>
          <w:sz w:val="16"/>
          <w:szCs w:val="16"/>
        </w:rPr>
      </w:pPr>
      <w:proofErr w:type="spellStart"/>
      <w:r w:rsidRPr="00677D9F">
        <w:rPr>
          <w:rFonts w:ascii="Arial" w:hAnsi="Arial" w:cs="Arial"/>
          <w:color w:val="7F7F7F" w:themeColor="text1" w:themeTint="80"/>
          <w:sz w:val="16"/>
          <w:szCs w:val="16"/>
        </w:rPr>
        <w:t>Welton</w:t>
      </w:r>
      <w:proofErr w:type="spellEnd"/>
      <w:r w:rsidRPr="00677D9F">
        <w:rPr>
          <w:rFonts w:ascii="Arial" w:hAnsi="Arial" w:cs="Arial"/>
          <w:color w:val="7F7F7F" w:themeColor="text1" w:themeTint="80"/>
          <w:sz w:val="16"/>
          <w:szCs w:val="16"/>
        </w:rPr>
        <w:t xml:space="preserve">, A. D., Mansfield, K. C., &amp; Lee, P-L. (2014). </w:t>
      </w:r>
      <w:proofErr w:type="gramStart"/>
      <w:r w:rsidRPr="00677D9F">
        <w:rPr>
          <w:rFonts w:ascii="Arial" w:hAnsi="Arial" w:cs="Arial"/>
          <w:i/>
          <w:color w:val="7F7F7F" w:themeColor="text1" w:themeTint="80"/>
          <w:sz w:val="16"/>
          <w:szCs w:val="16"/>
        </w:rPr>
        <w:t>Mentoring</w:t>
      </w:r>
      <w:proofErr w:type="gramEnd"/>
      <w:r w:rsidRPr="00677D9F">
        <w:rPr>
          <w:rFonts w:ascii="Arial" w:hAnsi="Arial" w:cs="Arial"/>
          <w:i/>
          <w:color w:val="7F7F7F" w:themeColor="text1" w:themeTint="80"/>
          <w:sz w:val="16"/>
          <w:szCs w:val="16"/>
        </w:rPr>
        <w:t xml:space="preserve"> matters: An exploratory survey of educational leadership doctoral students' perspectives</w:t>
      </w:r>
      <w:r w:rsidR="00677D9F">
        <w:rPr>
          <w:rFonts w:ascii="Arial" w:hAnsi="Arial" w:cs="Arial"/>
          <w:color w:val="7F7F7F" w:themeColor="text1" w:themeTint="80"/>
          <w:sz w:val="16"/>
          <w:szCs w:val="16"/>
        </w:rPr>
        <w:t>. Mentoring and Tut</w:t>
      </w:r>
      <w:r w:rsidRPr="00677D9F">
        <w:rPr>
          <w:rFonts w:ascii="Arial" w:hAnsi="Arial" w:cs="Arial"/>
          <w:color w:val="7F7F7F" w:themeColor="text1" w:themeTint="80"/>
          <w:sz w:val="16"/>
          <w:szCs w:val="16"/>
        </w:rPr>
        <w:t>oring: Partnership in Learning, 22(5), 481-509.</w:t>
      </w:r>
    </w:p>
    <w:p w:rsidR="00A54EC6" w:rsidRPr="00677D9F" w:rsidRDefault="009E1551" w:rsidP="00677D9F">
      <w:pPr>
        <w:spacing w:before="240" w:after="0" w:line="240" w:lineRule="auto"/>
        <w:ind w:left="720" w:hanging="720"/>
        <w:rPr>
          <w:rFonts w:ascii="Arial" w:hAnsi="Arial" w:cs="Arial"/>
          <w:color w:val="7F7F7F" w:themeColor="text1" w:themeTint="80"/>
          <w:sz w:val="16"/>
          <w:szCs w:val="16"/>
        </w:rPr>
      </w:pPr>
      <w:r w:rsidRPr="00677D9F">
        <w:rPr>
          <w:rFonts w:ascii="Arial" w:hAnsi="Arial" w:cs="Arial"/>
          <w:color w:val="7F7F7F" w:themeColor="text1" w:themeTint="80"/>
          <w:sz w:val="16"/>
          <w:szCs w:val="16"/>
        </w:rPr>
        <w:t xml:space="preserve">Wright, M. C. &amp; </w:t>
      </w:r>
      <w:proofErr w:type="spellStart"/>
      <w:r w:rsidRPr="00677D9F">
        <w:rPr>
          <w:rFonts w:ascii="Arial" w:hAnsi="Arial" w:cs="Arial"/>
          <w:color w:val="7F7F7F" w:themeColor="text1" w:themeTint="80"/>
          <w:sz w:val="16"/>
          <w:szCs w:val="16"/>
        </w:rPr>
        <w:t>Schram</w:t>
      </w:r>
      <w:proofErr w:type="spellEnd"/>
      <w:r w:rsidRPr="00677D9F">
        <w:rPr>
          <w:rFonts w:ascii="Arial" w:hAnsi="Arial" w:cs="Arial"/>
          <w:color w:val="7F7F7F" w:themeColor="text1" w:themeTint="80"/>
          <w:sz w:val="16"/>
          <w:szCs w:val="16"/>
        </w:rPr>
        <w:t xml:space="preserve">, L. N. (2011). </w:t>
      </w:r>
      <w:r w:rsidRPr="00677D9F">
        <w:rPr>
          <w:rFonts w:ascii="Arial" w:hAnsi="Arial" w:cs="Arial"/>
          <w:i/>
          <w:color w:val="7F7F7F" w:themeColor="text1" w:themeTint="80"/>
          <w:sz w:val="16"/>
          <w:szCs w:val="16"/>
        </w:rPr>
        <w:t>Mentoring graduate students. Essays on teaching excellence: toward the best in the academy</w:t>
      </w:r>
      <w:r w:rsidRPr="00677D9F">
        <w:rPr>
          <w:rFonts w:ascii="Arial" w:hAnsi="Arial" w:cs="Arial"/>
          <w:color w:val="7F7F7F" w:themeColor="text1" w:themeTint="80"/>
          <w:sz w:val="16"/>
          <w:szCs w:val="16"/>
        </w:rPr>
        <w:t xml:space="preserve">, 22(7). Retrieved from </w:t>
      </w:r>
      <w:hyperlink r:id="rId7" w:history="1">
        <w:r w:rsidRPr="00677D9F">
          <w:rPr>
            <w:rStyle w:val="Hyperlink"/>
            <w:rFonts w:ascii="Arial" w:hAnsi="Arial" w:cs="Arial"/>
            <w:color w:val="7F7F7F" w:themeColor="text1" w:themeTint="80"/>
            <w:sz w:val="16"/>
            <w:szCs w:val="16"/>
          </w:rPr>
          <w:t>http://podnetwork.org/content/uploads/V22_N7_Wright_Schram.pdf</w:t>
        </w:r>
      </w:hyperlink>
      <w:r w:rsidRPr="00677D9F">
        <w:rPr>
          <w:rFonts w:ascii="Arial" w:hAnsi="Arial" w:cs="Arial"/>
          <w:color w:val="7F7F7F" w:themeColor="text1" w:themeTint="80"/>
          <w:sz w:val="16"/>
          <w:szCs w:val="16"/>
        </w:rPr>
        <w:t>.</w:t>
      </w:r>
    </w:p>
    <w:sectPr w:rsidR="00A54EC6" w:rsidRPr="00677D9F" w:rsidSect="00677D9F">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8F8" w:rsidRDefault="00D308F8" w:rsidP="00726822">
      <w:pPr>
        <w:spacing w:after="0" w:line="240" w:lineRule="auto"/>
      </w:pPr>
      <w:r>
        <w:separator/>
      </w:r>
    </w:p>
  </w:endnote>
  <w:endnote w:type="continuationSeparator" w:id="0">
    <w:p w:rsidR="00D308F8" w:rsidRDefault="00D308F8" w:rsidP="0072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D9F" w:rsidRPr="00103190" w:rsidRDefault="00677D9F" w:rsidP="00677D9F">
    <w:pPr>
      <w:pStyle w:val="Header"/>
    </w:pPr>
  </w:p>
  <w:p w:rsidR="00677D9F" w:rsidRDefault="00677D9F" w:rsidP="00677D9F"/>
  <w:p w:rsidR="00677D9F" w:rsidRPr="00072F0B" w:rsidRDefault="00677D9F" w:rsidP="00677D9F">
    <w:pPr>
      <w:pStyle w:val="Footer"/>
      <w:tabs>
        <w:tab w:val="clear" w:pos="4680"/>
        <w:tab w:val="clear" w:pos="9360"/>
        <w:tab w:val="left" w:pos="3855"/>
      </w:tabs>
      <w:rPr>
        <w:i/>
        <w:color w:val="808080" w:themeColor="background1" w:themeShade="80"/>
        <w:sz w:val="18"/>
      </w:rPr>
    </w:pPr>
    <w:r w:rsidRPr="00072F0B">
      <w:rPr>
        <w:i/>
        <w:color w:val="808080" w:themeColor="background1" w:themeShade="80"/>
        <w:sz w:val="18"/>
      </w:rPr>
      <w:t xml:space="preserve">The Mentoring Connection: </w:t>
    </w:r>
    <w:r>
      <w:rPr>
        <w:i/>
        <w:color w:val="808080" w:themeColor="background1" w:themeShade="80"/>
        <w:sz w:val="18"/>
      </w:rPr>
      <w:t>Peer Mentoring</w:t>
    </w:r>
    <w:r>
      <w:rPr>
        <w:i/>
        <w:color w:val="808080" w:themeColor="background1" w:themeShade="80"/>
        <w:sz w:val="18"/>
      </w:rPr>
      <w:tab/>
    </w:r>
  </w:p>
  <w:p w:rsidR="00677D9F" w:rsidRPr="00072F0B" w:rsidRDefault="00677D9F" w:rsidP="00677D9F">
    <w:pPr>
      <w:pStyle w:val="Footer"/>
      <w:rPr>
        <w:color w:val="808080" w:themeColor="background1" w:themeShade="80"/>
        <w:sz w:val="18"/>
      </w:rPr>
    </w:pPr>
    <w:r w:rsidRPr="00072F0B">
      <w:rPr>
        <w:color w:val="808080" w:themeColor="background1" w:themeShade="80"/>
        <w:sz w:val="18"/>
      </w:rPr>
      <w:t xml:space="preserve">© ASU </w:t>
    </w:r>
    <w:hyperlink r:id="rId1" w:history="1">
      <w:r w:rsidRPr="00072F0B">
        <w:rPr>
          <w:rStyle w:val="Hyperlink"/>
          <w:color w:val="023160" w:themeColor="hyperlink" w:themeShade="80"/>
        </w:rPr>
        <w:t>Graduate Student Professional Network</w:t>
      </w:r>
    </w:hyperlink>
    <w:r w:rsidRPr="00072F0B">
      <w:rPr>
        <w:color w:val="808080" w:themeColor="background1" w:themeShade="80"/>
        <w:sz w:val="18"/>
      </w:rPr>
      <w:t>, 2017</w:t>
    </w:r>
  </w:p>
  <w:p w:rsidR="00677D9F" w:rsidRDefault="00677D9F" w:rsidP="00677D9F">
    <w:pPr>
      <w:pStyle w:val="Footer"/>
    </w:pPr>
    <w:r>
      <w:rPr>
        <w:color w:val="808080" w:themeColor="background1" w:themeShade="80"/>
        <w:sz w:val="18"/>
      </w:rPr>
      <w:t>Updated: 3/9</w:t>
    </w:r>
    <w:r w:rsidRPr="00072F0B">
      <w:rPr>
        <w:color w:val="808080" w:themeColor="background1" w:themeShade="80"/>
        <w:sz w:val="18"/>
      </w:rPr>
      <w:t>/17 by Zachary Reeves-Blurton, Dr. Jennifer Cason</w:t>
    </w:r>
    <w:r>
      <w:rPr>
        <w:color w:val="808080" w:themeColor="background1" w:themeShade="80"/>
        <w:sz w:val="18"/>
      </w:rPr>
      <w:t xml:space="preserve"> </w:t>
    </w:r>
    <w:r>
      <w:rPr>
        <w:color w:val="808080" w:themeColor="background1" w:themeShade="80"/>
        <w:sz w:val="18"/>
      </w:rPr>
      <w:tab/>
      <w:t xml:space="preserve">                                                                                               Page 2 of 2</w:t>
    </w:r>
  </w:p>
  <w:p w:rsidR="00677D9F" w:rsidRPr="00677D9F" w:rsidRDefault="00677D9F" w:rsidP="00677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D9F" w:rsidRDefault="00677D9F" w:rsidP="00677D9F"/>
  <w:p w:rsidR="00677D9F" w:rsidRDefault="00677D9F" w:rsidP="00677D9F"/>
  <w:p w:rsidR="00677D9F" w:rsidRPr="00072F0B" w:rsidRDefault="00677D9F" w:rsidP="00677D9F">
    <w:pPr>
      <w:pStyle w:val="Footer"/>
      <w:tabs>
        <w:tab w:val="clear" w:pos="4680"/>
        <w:tab w:val="clear" w:pos="9360"/>
        <w:tab w:val="left" w:pos="3855"/>
      </w:tabs>
      <w:rPr>
        <w:i/>
        <w:color w:val="808080" w:themeColor="background1" w:themeShade="80"/>
        <w:sz w:val="18"/>
      </w:rPr>
    </w:pPr>
    <w:r w:rsidRPr="00072F0B">
      <w:rPr>
        <w:i/>
        <w:color w:val="808080" w:themeColor="background1" w:themeShade="80"/>
        <w:sz w:val="18"/>
      </w:rPr>
      <w:t xml:space="preserve">The Mentoring Connection: </w:t>
    </w:r>
    <w:r>
      <w:rPr>
        <w:i/>
        <w:color w:val="808080" w:themeColor="background1" w:themeShade="80"/>
        <w:sz w:val="18"/>
      </w:rPr>
      <w:t>Peer Mentoring</w:t>
    </w:r>
    <w:r>
      <w:rPr>
        <w:i/>
        <w:color w:val="808080" w:themeColor="background1" w:themeShade="80"/>
        <w:sz w:val="18"/>
      </w:rPr>
      <w:tab/>
    </w:r>
  </w:p>
  <w:p w:rsidR="00677D9F" w:rsidRPr="00072F0B" w:rsidRDefault="00677D9F" w:rsidP="00677D9F">
    <w:pPr>
      <w:pStyle w:val="Footer"/>
      <w:rPr>
        <w:color w:val="808080" w:themeColor="background1" w:themeShade="80"/>
        <w:sz w:val="18"/>
      </w:rPr>
    </w:pPr>
    <w:r w:rsidRPr="00072F0B">
      <w:rPr>
        <w:color w:val="808080" w:themeColor="background1" w:themeShade="80"/>
        <w:sz w:val="18"/>
      </w:rPr>
      <w:t xml:space="preserve">© ASU </w:t>
    </w:r>
    <w:hyperlink r:id="rId1" w:history="1">
      <w:r w:rsidRPr="00072F0B">
        <w:rPr>
          <w:rStyle w:val="Hyperlink"/>
          <w:color w:val="023160" w:themeColor="hyperlink" w:themeShade="80"/>
        </w:rPr>
        <w:t>Graduate Student Professional Network</w:t>
      </w:r>
    </w:hyperlink>
    <w:r w:rsidRPr="00072F0B">
      <w:rPr>
        <w:color w:val="808080" w:themeColor="background1" w:themeShade="80"/>
        <w:sz w:val="18"/>
      </w:rPr>
      <w:t>, 2017</w:t>
    </w:r>
  </w:p>
  <w:p w:rsidR="00677D9F" w:rsidRDefault="0059404E" w:rsidP="00677D9F">
    <w:pPr>
      <w:pStyle w:val="Footer"/>
    </w:pPr>
    <w:r>
      <w:rPr>
        <w:color w:val="808080" w:themeColor="background1" w:themeShade="80"/>
        <w:sz w:val="18"/>
      </w:rPr>
      <w:t>Updated: 7/12</w:t>
    </w:r>
    <w:r w:rsidR="00677D9F" w:rsidRPr="00072F0B">
      <w:rPr>
        <w:color w:val="808080" w:themeColor="background1" w:themeShade="80"/>
        <w:sz w:val="18"/>
      </w:rPr>
      <w:t>/17</w:t>
    </w:r>
    <w:r w:rsidR="00677D9F">
      <w:rPr>
        <w:color w:val="808080" w:themeColor="background1" w:themeShade="80"/>
        <w:sz w:val="18"/>
      </w:rPr>
      <w:t xml:space="preserve">                                                                                            </w:t>
    </w:r>
    <w:r>
      <w:rPr>
        <w:color w:val="808080" w:themeColor="background1" w:themeShade="80"/>
        <w:sz w:val="18"/>
      </w:rPr>
      <w:tab/>
    </w:r>
    <w:r w:rsidR="00677D9F">
      <w:rPr>
        <w:color w:val="808080" w:themeColor="background1" w:themeShade="80"/>
        <w:sz w:val="18"/>
      </w:rPr>
      <w:t xml:space="preserve">   Page 1 of 2</w:t>
    </w:r>
  </w:p>
  <w:p w:rsidR="00677D9F" w:rsidRPr="00677D9F" w:rsidRDefault="00677D9F" w:rsidP="00677D9F">
    <w:pPr>
      <w:pStyle w:val="Footer"/>
    </w:pPr>
  </w:p>
  <w:p w:rsidR="00677D9F" w:rsidRPr="00677D9F" w:rsidRDefault="00677D9F" w:rsidP="00677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8F8" w:rsidRDefault="00D308F8" w:rsidP="00726822">
      <w:pPr>
        <w:spacing w:after="0" w:line="240" w:lineRule="auto"/>
      </w:pPr>
      <w:r>
        <w:separator/>
      </w:r>
    </w:p>
  </w:footnote>
  <w:footnote w:type="continuationSeparator" w:id="0">
    <w:p w:rsidR="00D308F8" w:rsidRDefault="00D308F8" w:rsidP="00726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822" w:rsidRDefault="00677D9F">
    <w:pPr>
      <w:pStyle w:val="Header"/>
    </w:pPr>
    <w:r w:rsidRPr="006D269F">
      <w:rPr>
        <w:rFonts w:ascii="Tahoma" w:hAnsi="Tahoma" w:cs="Tahoma"/>
        <w:noProof/>
      </w:rPr>
      <w:drawing>
        <wp:inline distT="0" distB="0" distL="0" distR="0" wp14:anchorId="4D1BD883" wp14:editId="404DF6E0">
          <wp:extent cx="2127104" cy="922020"/>
          <wp:effectExtent l="0" t="0" r="0" b="0"/>
          <wp:docPr id="1" name="Picture 1" descr="https://brandguide.asu.edu/sites/default/files/endorsed/color/asu_graduatecollege_horiz_rgb_maroongold_6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guide.asu.edu/sites/default/files/endorsed/color/asu_graduatecollege_horiz_rgb_maroongold_600p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0398" cy="932117"/>
                  </a:xfrm>
                  <a:prstGeom prst="rect">
                    <a:avLst/>
                  </a:prstGeom>
                  <a:noFill/>
                  <a:ln>
                    <a:noFill/>
                  </a:ln>
                </pic:spPr>
              </pic:pic>
            </a:graphicData>
          </a:graphic>
        </wp:inline>
      </w:drawing>
    </w:r>
  </w:p>
  <w:p w:rsidR="00677D9F" w:rsidRDefault="00677D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D9F" w:rsidRPr="00677D9F" w:rsidRDefault="00677D9F" w:rsidP="00677D9F">
    <w:pPr>
      <w:pStyle w:val="Header"/>
    </w:pPr>
    <w:r w:rsidRPr="006D269F">
      <w:rPr>
        <w:rFonts w:ascii="Tahoma" w:hAnsi="Tahoma" w:cs="Tahoma"/>
        <w:noProof/>
      </w:rPr>
      <w:drawing>
        <wp:inline distT="0" distB="0" distL="0" distR="0" wp14:anchorId="14260248" wp14:editId="11323217">
          <wp:extent cx="2127104" cy="922020"/>
          <wp:effectExtent l="0" t="0" r="0" b="0"/>
          <wp:docPr id="2" name="Picture 2" descr="https://brandguide.asu.edu/sites/default/files/endorsed/color/asu_graduatecollege_horiz_rgb_maroongold_6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guide.asu.edu/sites/default/files/endorsed/color/asu_graduatecollege_horiz_rgb_maroongold_600p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0398" cy="9321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F478F"/>
    <w:multiLevelType w:val="hybridMultilevel"/>
    <w:tmpl w:val="FDD21A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62290A"/>
    <w:multiLevelType w:val="hybridMultilevel"/>
    <w:tmpl w:val="4A16BC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8D67379"/>
    <w:multiLevelType w:val="hybridMultilevel"/>
    <w:tmpl w:val="709A4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506B2"/>
    <w:multiLevelType w:val="hybridMultilevel"/>
    <w:tmpl w:val="F2FAE0C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14C0A"/>
    <w:multiLevelType w:val="hybridMultilevel"/>
    <w:tmpl w:val="D708E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3125CE"/>
    <w:multiLevelType w:val="hybridMultilevel"/>
    <w:tmpl w:val="135CFA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714460"/>
    <w:multiLevelType w:val="hybridMultilevel"/>
    <w:tmpl w:val="8F9E3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22"/>
    <w:rsid w:val="00531122"/>
    <w:rsid w:val="0059404E"/>
    <w:rsid w:val="005B7D23"/>
    <w:rsid w:val="00677D9F"/>
    <w:rsid w:val="00726822"/>
    <w:rsid w:val="00934C84"/>
    <w:rsid w:val="009E1551"/>
    <w:rsid w:val="00A54EC6"/>
    <w:rsid w:val="00A954E8"/>
    <w:rsid w:val="00AA3CEA"/>
    <w:rsid w:val="00B679D6"/>
    <w:rsid w:val="00CD21CC"/>
    <w:rsid w:val="00D308F8"/>
    <w:rsid w:val="00F8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0744597-F9C5-49AC-BE8A-DC506B56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22"/>
  </w:style>
  <w:style w:type="paragraph" w:styleId="Footer">
    <w:name w:val="footer"/>
    <w:basedOn w:val="Normal"/>
    <w:link w:val="FooterChar"/>
    <w:uiPriority w:val="99"/>
    <w:unhideWhenUsed/>
    <w:rsid w:val="00726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822"/>
  </w:style>
  <w:style w:type="paragraph" w:styleId="ListParagraph">
    <w:name w:val="List Paragraph"/>
    <w:basedOn w:val="Normal"/>
    <w:uiPriority w:val="34"/>
    <w:qFormat/>
    <w:rsid w:val="00AA3CEA"/>
    <w:pPr>
      <w:ind w:left="720"/>
      <w:contextualSpacing/>
    </w:pPr>
  </w:style>
  <w:style w:type="character" w:styleId="Hyperlink">
    <w:name w:val="Hyperlink"/>
    <w:basedOn w:val="DefaultParagraphFont"/>
    <w:uiPriority w:val="99"/>
    <w:unhideWhenUsed/>
    <w:rsid w:val="009E1551"/>
    <w:rPr>
      <w:color w:val="0563C1" w:themeColor="hyperlink"/>
      <w:u w:val="single"/>
    </w:rPr>
  </w:style>
  <w:style w:type="paragraph" w:styleId="BalloonText">
    <w:name w:val="Balloon Text"/>
    <w:basedOn w:val="Normal"/>
    <w:link w:val="BalloonTextChar"/>
    <w:uiPriority w:val="99"/>
    <w:semiHidden/>
    <w:unhideWhenUsed/>
    <w:rsid w:val="00F83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1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dnetwork.org/content/uploads/V22_N7_Wright_Schram.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raduate.asu.edu/shad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graduate.asu.edu/sh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Reeves-Blurton</dc:creator>
  <cp:keywords/>
  <dc:description/>
  <cp:lastModifiedBy>Zachary Reeves-Blurton</cp:lastModifiedBy>
  <cp:revision>5</cp:revision>
  <cp:lastPrinted>2017-03-09T18:31:00Z</cp:lastPrinted>
  <dcterms:created xsi:type="dcterms:W3CDTF">2017-03-08T19:27:00Z</dcterms:created>
  <dcterms:modified xsi:type="dcterms:W3CDTF">2017-07-12T16:06:00Z</dcterms:modified>
</cp:coreProperties>
</file>